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2A6B" w14:textId="77777777" w:rsidR="008C0902" w:rsidRPr="007A63EB" w:rsidRDefault="0094538C" w:rsidP="00334A65">
      <w:pPr>
        <w:spacing w:line="0" w:lineRule="atLeast"/>
        <w:jc w:val="center"/>
        <w:rPr>
          <w:rFonts w:ascii="Times New Roman" w:eastAsia="Times New Roman" w:hAnsi="Times New Roman"/>
          <w:b/>
          <w:sz w:val="24"/>
          <w:szCs w:val="24"/>
        </w:rPr>
      </w:pPr>
      <w:bookmarkStart w:id="0" w:name="page1"/>
      <w:bookmarkEnd w:id="0"/>
      <w:r w:rsidRPr="007A63EB">
        <w:rPr>
          <w:rFonts w:ascii="Times New Roman" w:eastAsia="Times New Roman" w:hAnsi="Times New Roman"/>
          <w:b/>
          <w:sz w:val="24"/>
          <w:szCs w:val="24"/>
        </w:rPr>
        <w:t>PATALPŲ PARUOŠIMAS</w:t>
      </w:r>
    </w:p>
    <w:p w14:paraId="669F2A6C" w14:textId="77777777" w:rsidR="008C0902" w:rsidRPr="007A63EB" w:rsidRDefault="008C0902" w:rsidP="00334A65">
      <w:pPr>
        <w:spacing w:line="255" w:lineRule="exact"/>
        <w:jc w:val="both"/>
        <w:rPr>
          <w:rFonts w:ascii="Times New Roman" w:eastAsia="Times New Roman" w:hAnsi="Times New Roman"/>
          <w:sz w:val="24"/>
          <w:szCs w:val="24"/>
        </w:rPr>
      </w:pPr>
    </w:p>
    <w:p w14:paraId="669F2A6D" w14:textId="77777777" w:rsidR="008C0902" w:rsidRPr="007A63EB" w:rsidRDefault="0094538C" w:rsidP="00334A65">
      <w:pPr>
        <w:numPr>
          <w:ilvl w:val="0"/>
          <w:numId w:val="1"/>
        </w:numPr>
        <w:tabs>
          <w:tab w:val="left" w:pos="1296"/>
        </w:tabs>
        <w:spacing w:line="266" w:lineRule="auto"/>
        <w:ind w:firstLine="994"/>
        <w:jc w:val="both"/>
        <w:rPr>
          <w:rFonts w:ascii="Times New Roman" w:eastAsia="Times New Roman" w:hAnsi="Times New Roman"/>
          <w:sz w:val="24"/>
          <w:szCs w:val="24"/>
        </w:rPr>
      </w:pPr>
      <w:r w:rsidRPr="007A63EB">
        <w:rPr>
          <w:rFonts w:ascii="Times New Roman" w:eastAsia="Times New Roman" w:hAnsi="Times New Roman"/>
          <w:sz w:val="24"/>
          <w:szCs w:val="24"/>
        </w:rPr>
        <w:t xml:space="preserve">Patalpos, kuriose bus renkami paviršių mėginiai, </w:t>
      </w:r>
      <w:r w:rsidRPr="007A63EB">
        <w:rPr>
          <w:rFonts w:ascii="Times New Roman" w:eastAsia="Times New Roman" w:hAnsi="Times New Roman"/>
          <w:b/>
          <w:sz w:val="24"/>
          <w:szCs w:val="24"/>
        </w:rPr>
        <w:t>neturėtų būti dezinfekuojamos ar valomos</w:t>
      </w:r>
      <w:r w:rsidRPr="007A63EB">
        <w:rPr>
          <w:rFonts w:ascii="Times New Roman" w:eastAsia="Times New Roman" w:hAnsi="Times New Roman"/>
          <w:sz w:val="24"/>
          <w:szCs w:val="24"/>
        </w:rPr>
        <w:t xml:space="preserve"> bent 30 min. (geriausia apie 2 val.) </w:t>
      </w:r>
      <w:r w:rsidRPr="007A63EB">
        <w:rPr>
          <w:rFonts w:ascii="Times New Roman" w:eastAsia="Times New Roman" w:hAnsi="Times New Roman"/>
          <w:b/>
          <w:sz w:val="24"/>
          <w:szCs w:val="24"/>
        </w:rPr>
        <w:t>prieš mėginių paėmimą</w:t>
      </w:r>
      <w:r w:rsidRPr="007A63EB">
        <w:rPr>
          <w:rFonts w:ascii="Times New Roman" w:eastAsia="Times New Roman" w:hAnsi="Times New Roman"/>
          <w:sz w:val="24"/>
          <w:szCs w:val="24"/>
        </w:rPr>
        <w:t>.</w:t>
      </w:r>
    </w:p>
    <w:p w14:paraId="669F2A6E" w14:textId="77777777" w:rsidR="008C0902" w:rsidRPr="007A63EB" w:rsidRDefault="008C0902" w:rsidP="00334A65">
      <w:pPr>
        <w:spacing w:line="64" w:lineRule="exact"/>
        <w:jc w:val="both"/>
        <w:rPr>
          <w:rFonts w:ascii="Times New Roman" w:eastAsia="Times New Roman" w:hAnsi="Times New Roman"/>
          <w:sz w:val="24"/>
          <w:szCs w:val="24"/>
        </w:rPr>
      </w:pPr>
    </w:p>
    <w:p w14:paraId="669F2A6F" w14:textId="77777777" w:rsidR="008C0902" w:rsidRPr="007A63EB" w:rsidRDefault="0094538C" w:rsidP="00334A65">
      <w:pPr>
        <w:numPr>
          <w:ilvl w:val="1"/>
          <w:numId w:val="1"/>
        </w:numPr>
        <w:tabs>
          <w:tab w:val="left" w:pos="881"/>
        </w:tabs>
        <w:spacing w:line="266" w:lineRule="auto"/>
        <w:ind w:firstLine="992"/>
        <w:jc w:val="both"/>
        <w:rPr>
          <w:rFonts w:ascii="Times New Roman" w:eastAsia="Times New Roman" w:hAnsi="Times New Roman"/>
          <w:b/>
          <w:color w:val="FF0000"/>
          <w:sz w:val="24"/>
          <w:szCs w:val="24"/>
        </w:rPr>
      </w:pPr>
      <w:r w:rsidRPr="007A63EB">
        <w:rPr>
          <w:rFonts w:ascii="Times New Roman" w:eastAsia="Times New Roman" w:hAnsi="Times New Roman"/>
          <w:sz w:val="24"/>
          <w:szCs w:val="24"/>
        </w:rPr>
        <w:t>Svarbu, kad po paskutinės dezinfekcijos / valymo patalpose būtų dirbę / lankęsi žmonės, kurie įprastai ten dirba / būna.</w:t>
      </w:r>
    </w:p>
    <w:p w14:paraId="669F2A70" w14:textId="77777777" w:rsidR="008C0902" w:rsidRPr="007A63EB" w:rsidRDefault="008C0902" w:rsidP="00334A65">
      <w:pPr>
        <w:spacing w:line="374" w:lineRule="exact"/>
        <w:jc w:val="both"/>
        <w:rPr>
          <w:rFonts w:ascii="Times New Roman" w:eastAsia="Times New Roman" w:hAnsi="Times New Roman"/>
          <w:b/>
          <w:color w:val="FF0000"/>
          <w:sz w:val="24"/>
          <w:szCs w:val="24"/>
        </w:rPr>
      </w:pPr>
    </w:p>
    <w:p w14:paraId="669F2A71" w14:textId="77777777" w:rsidR="008C0902" w:rsidRPr="007A63EB" w:rsidRDefault="0094538C" w:rsidP="00334A65">
      <w:pPr>
        <w:numPr>
          <w:ilvl w:val="0"/>
          <w:numId w:val="1"/>
        </w:numPr>
        <w:tabs>
          <w:tab w:val="left" w:pos="1296"/>
        </w:tabs>
        <w:spacing w:line="266" w:lineRule="auto"/>
        <w:ind w:firstLine="994"/>
        <w:jc w:val="both"/>
        <w:rPr>
          <w:rFonts w:ascii="Times New Roman" w:eastAsia="Times New Roman" w:hAnsi="Times New Roman"/>
          <w:sz w:val="24"/>
          <w:szCs w:val="24"/>
        </w:rPr>
      </w:pPr>
      <w:r w:rsidRPr="007A63EB">
        <w:rPr>
          <w:rFonts w:ascii="Times New Roman" w:eastAsia="Times New Roman" w:hAnsi="Times New Roman"/>
          <w:sz w:val="24"/>
          <w:szCs w:val="24"/>
        </w:rPr>
        <w:t xml:space="preserve">Daugelis populiarių dezinfekcijos priemonių SARS-CoV-2 virusą, sukeliantį COVID-19 ligą, </w:t>
      </w:r>
      <w:proofErr w:type="spellStart"/>
      <w:r w:rsidRPr="007A63EB">
        <w:rPr>
          <w:rFonts w:ascii="Times New Roman" w:eastAsia="Times New Roman" w:hAnsi="Times New Roman"/>
          <w:sz w:val="24"/>
          <w:szCs w:val="24"/>
        </w:rPr>
        <w:t>inaktyvina</w:t>
      </w:r>
      <w:proofErr w:type="spellEnd"/>
      <w:r w:rsidRPr="007A63EB">
        <w:rPr>
          <w:rFonts w:ascii="Times New Roman" w:eastAsia="Times New Roman" w:hAnsi="Times New Roman"/>
          <w:sz w:val="24"/>
          <w:szCs w:val="24"/>
        </w:rPr>
        <w:t>, tačiau ne visada jį visiškai suardo, todėl šio viruso dalelės neaktyvios formos išlieka ant paviršių tam tikrą gana ilgą laiką ir gali būti sėkmingai aptinkamos, tiriant nuo paviršių paimtus mėginius. Įstaigose, kuriose planuojami paviršių tyrimai, dėl to nereikėtų keisti įprasto patalpų valymo ir dezinfekcijos grafiko.</w:t>
      </w:r>
    </w:p>
    <w:p w14:paraId="669F2A72" w14:textId="77777777" w:rsidR="008C0902" w:rsidRPr="007A63EB" w:rsidRDefault="008C0902" w:rsidP="00334A65">
      <w:pPr>
        <w:spacing w:line="334" w:lineRule="exact"/>
        <w:jc w:val="both"/>
        <w:rPr>
          <w:rFonts w:ascii="Times New Roman" w:eastAsia="Times New Roman" w:hAnsi="Times New Roman"/>
          <w:sz w:val="24"/>
          <w:szCs w:val="24"/>
        </w:rPr>
      </w:pPr>
    </w:p>
    <w:p w14:paraId="669F2A73" w14:textId="77777777" w:rsidR="008C0902" w:rsidRPr="007A63EB" w:rsidRDefault="0094538C" w:rsidP="00334A65">
      <w:pPr>
        <w:numPr>
          <w:ilvl w:val="0"/>
          <w:numId w:val="1"/>
        </w:numPr>
        <w:tabs>
          <w:tab w:val="left" w:pos="1296"/>
        </w:tabs>
        <w:spacing w:line="266" w:lineRule="auto"/>
        <w:ind w:firstLine="994"/>
        <w:jc w:val="both"/>
        <w:rPr>
          <w:rFonts w:ascii="Times New Roman" w:eastAsia="Times New Roman" w:hAnsi="Times New Roman"/>
          <w:sz w:val="24"/>
          <w:szCs w:val="24"/>
        </w:rPr>
      </w:pPr>
      <w:r w:rsidRPr="007A63EB">
        <w:rPr>
          <w:rFonts w:ascii="Times New Roman" w:eastAsia="Times New Roman" w:hAnsi="Times New Roman"/>
          <w:sz w:val="24"/>
          <w:szCs w:val="24"/>
        </w:rPr>
        <w:t>Įėjus į patalpą, reikėtų įvertinti, ar joje nėra akivaizdžių dezinfekcinio skysčio ar kitų valymo priemonių likučių ant tų paviršių, nuo kurių planuojama imti mėginius, – šių priemonių sudėtinės medžiagos gali stipriai slopinti reakciją, kuri taikoma paviršių mėginių tyrimams.</w:t>
      </w:r>
    </w:p>
    <w:p w14:paraId="669F2A74" w14:textId="77777777" w:rsidR="008C0902" w:rsidRPr="007A63EB" w:rsidRDefault="008C0902" w:rsidP="00334A65">
      <w:pPr>
        <w:spacing w:line="335" w:lineRule="exact"/>
        <w:jc w:val="both"/>
        <w:rPr>
          <w:rFonts w:ascii="Times New Roman" w:eastAsia="Times New Roman" w:hAnsi="Times New Roman"/>
          <w:sz w:val="24"/>
          <w:szCs w:val="24"/>
        </w:rPr>
      </w:pPr>
    </w:p>
    <w:p w14:paraId="669F2A75" w14:textId="77777777" w:rsidR="008C0902" w:rsidRPr="007A63EB" w:rsidRDefault="0094538C" w:rsidP="00334A65">
      <w:pPr>
        <w:numPr>
          <w:ilvl w:val="0"/>
          <w:numId w:val="1"/>
        </w:numPr>
        <w:tabs>
          <w:tab w:val="left" w:pos="1296"/>
        </w:tabs>
        <w:spacing w:line="266" w:lineRule="auto"/>
        <w:ind w:firstLine="994"/>
        <w:jc w:val="both"/>
        <w:rPr>
          <w:rFonts w:ascii="Times New Roman" w:eastAsia="Times New Roman" w:hAnsi="Times New Roman"/>
          <w:sz w:val="24"/>
          <w:szCs w:val="24"/>
        </w:rPr>
      </w:pPr>
      <w:r w:rsidRPr="007A63EB">
        <w:rPr>
          <w:rFonts w:ascii="Times New Roman" w:eastAsia="Times New Roman" w:hAnsi="Times New Roman"/>
          <w:sz w:val="24"/>
          <w:szCs w:val="24"/>
        </w:rPr>
        <w:t xml:space="preserve">Rekomenduojama, kad, imant </w:t>
      </w:r>
      <w:r w:rsidRPr="005E6E1E">
        <w:rPr>
          <w:rFonts w:ascii="Times New Roman" w:eastAsia="Times New Roman" w:hAnsi="Times New Roman"/>
          <w:sz w:val="24"/>
          <w:lang w:eastAsia="lt-LT" w:bidi="he-IL"/>
        </w:rPr>
        <w:t>paviršių</w:t>
      </w:r>
      <w:r w:rsidRPr="007A63EB">
        <w:rPr>
          <w:rFonts w:ascii="Times New Roman" w:eastAsia="Times New Roman" w:hAnsi="Times New Roman"/>
          <w:sz w:val="24"/>
          <w:szCs w:val="24"/>
        </w:rPr>
        <w:t xml:space="preserve"> mėginius, tose patalpose nebūtų žmonių. Turi būti siekiama išvengti nebūtinų kontaktų.</w:t>
      </w:r>
    </w:p>
    <w:p w14:paraId="669F2A76" w14:textId="77777777" w:rsidR="008C0902" w:rsidRPr="007A63EB" w:rsidRDefault="008C0902" w:rsidP="00334A65">
      <w:pPr>
        <w:spacing w:line="328" w:lineRule="exact"/>
        <w:jc w:val="both"/>
        <w:rPr>
          <w:rFonts w:ascii="Times New Roman" w:eastAsia="Times New Roman" w:hAnsi="Times New Roman"/>
          <w:sz w:val="24"/>
          <w:szCs w:val="24"/>
        </w:rPr>
      </w:pPr>
    </w:p>
    <w:p w14:paraId="669F2A77" w14:textId="77777777" w:rsidR="008C0902" w:rsidRPr="007A63EB" w:rsidRDefault="0094538C" w:rsidP="00334A65">
      <w:pPr>
        <w:numPr>
          <w:ilvl w:val="0"/>
          <w:numId w:val="1"/>
        </w:numPr>
        <w:tabs>
          <w:tab w:val="left" w:pos="1296"/>
        </w:tabs>
        <w:spacing w:line="266" w:lineRule="auto"/>
        <w:ind w:firstLine="994"/>
        <w:jc w:val="both"/>
        <w:rPr>
          <w:rFonts w:ascii="Times New Roman" w:eastAsia="Times New Roman" w:hAnsi="Times New Roman"/>
          <w:sz w:val="24"/>
          <w:szCs w:val="24"/>
        </w:rPr>
      </w:pPr>
      <w:r w:rsidRPr="007A63EB">
        <w:rPr>
          <w:rFonts w:ascii="Times New Roman" w:eastAsia="Times New Roman" w:hAnsi="Times New Roman"/>
          <w:sz w:val="24"/>
          <w:szCs w:val="24"/>
        </w:rPr>
        <w:t>Paviršių mėginių nereikėtų imti šiose vietose / nuo šių objektų:</w:t>
      </w:r>
    </w:p>
    <w:p w14:paraId="669F2A78" w14:textId="77777777" w:rsidR="008C0902" w:rsidRPr="007A63EB" w:rsidRDefault="008C0902" w:rsidP="00334A65">
      <w:pPr>
        <w:spacing w:line="59" w:lineRule="exact"/>
        <w:jc w:val="both"/>
        <w:rPr>
          <w:rFonts w:ascii="Times New Roman" w:eastAsia="Times New Roman" w:hAnsi="Times New Roman"/>
          <w:sz w:val="24"/>
          <w:szCs w:val="24"/>
        </w:rPr>
      </w:pPr>
    </w:p>
    <w:p w14:paraId="669F2A79" w14:textId="77777777" w:rsidR="008C0902" w:rsidRPr="007A63EB" w:rsidRDefault="0094538C" w:rsidP="00334A65">
      <w:pPr>
        <w:numPr>
          <w:ilvl w:val="2"/>
          <w:numId w:val="1"/>
        </w:numPr>
        <w:tabs>
          <w:tab w:val="left" w:pos="1280"/>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stalų, prie kurių yra valgoma;</w:t>
      </w:r>
    </w:p>
    <w:p w14:paraId="669F2A7A" w14:textId="77777777" w:rsidR="008C0902" w:rsidRPr="007A63EB" w:rsidRDefault="008C0902" w:rsidP="00334A65">
      <w:pPr>
        <w:spacing w:line="58" w:lineRule="exact"/>
        <w:jc w:val="both"/>
        <w:rPr>
          <w:rFonts w:ascii="Arial" w:eastAsia="Arial" w:hAnsi="Arial"/>
          <w:sz w:val="24"/>
          <w:szCs w:val="24"/>
        </w:rPr>
      </w:pPr>
    </w:p>
    <w:p w14:paraId="669F2A7B" w14:textId="77777777" w:rsidR="008C0902" w:rsidRPr="007A63EB" w:rsidRDefault="0094538C" w:rsidP="00334A65">
      <w:pPr>
        <w:numPr>
          <w:ilvl w:val="2"/>
          <w:numId w:val="1"/>
        </w:numPr>
        <w:tabs>
          <w:tab w:val="left" w:pos="1280"/>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grupės virtuvėlės baldų;</w:t>
      </w:r>
    </w:p>
    <w:p w14:paraId="669F2A7C" w14:textId="77777777" w:rsidR="008C0902" w:rsidRPr="007A63EB" w:rsidRDefault="008C0902" w:rsidP="00334A65">
      <w:pPr>
        <w:spacing w:line="56" w:lineRule="exact"/>
        <w:jc w:val="both"/>
        <w:rPr>
          <w:rFonts w:ascii="Arial" w:eastAsia="Arial" w:hAnsi="Arial"/>
          <w:sz w:val="24"/>
          <w:szCs w:val="24"/>
        </w:rPr>
      </w:pPr>
    </w:p>
    <w:p w14:paraId="669F2A7D" w14:textId="77777777" w:rsidR="008C0902" w:rsidRPr="007A63EB" w:rsidRDefault="0094538C" w:rsidP="00334A65">
      <w:pPr>
        <w:numPr>
          <w:ilvl w:val="2"/>
          <w:numId w:val="1"/>
        </w:numPr>
        <w:tabs>
          <w:tab w:val="left" w:pos="1280"/>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tualetų;</w:t>
      </w:r>
    </w:p>
    <w:p w14:paraId="669F2A7E" w14:textId="77777777" w:rsidR="008C0902" w:rsidRPr="007A63EB" w:rsidRDefault="008C0902" w:rsidP="00334A65">
      <w:pPr>
        <w:spacing w:line="58" w:lineRule="exact"/>
        <w:jc w:val="both"/>
        <w:rPr>
          <w:rFonts w:ascii="Arial" w:eastAsia="Arial" w:hAnsi="Arial"/>
          <w:sz w:val="24"/>
          <w:szCs w:val="24"/>
        </w:rPr>
      </w:pPr>
    </w:p>
    <w:p w14:paraId="669F2A7F" w14:textId="77777777" w:rsidR="008C0902" w:rsidRPr="007A63EB" w:rsidRDefault="0094538C" w:rsidP="00334A65">
      <w:pPr>
        <w:numPr>
          <w:ilvl w:val="2"/>
          <w:numId w:val="1"/>
        </w:numPr>
        <w:tabs>
          <w:tab w:val="left" w:pos="1300"/>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praustuvų;</w:t>
      </w:r>
    </w:p>
    <w:p w14:paraId="669F2A80" w14:textId="77777777" w:rsidR="008C0902" w:rsidRPr="007A63EB" w:rsidRDefault="008C0902" w:rsidP="00334A65">
      <w:pPr>
        <w:spacing w:line="56" w:lineRule="exact"/>
        <w:jc w:val="both"/>
        <w:rPr>
          <w:rFonts w:ascii="Arial" w:eastAsia="Arial" w:hAnsi="Arial"/>
          <w:sz w:val="24"/>
          <w:szCs w:val="24"/>
        </w:rPr>
      </w:pPr>
    </w:p>
    <w:p w14:paraId="669F2A81" w14:textId="77777777" w:rsidR="008C0902" w:rsidRPr="007A63EB" w:rsidRDefault="0094538C" w:rsidP="00334A65">
      <w:pPr>
        <w:numPr>
          <w:ilvl w:val="2"/>
          <w:numId w:val="1"/>
        </w:numPr>
        <w:tabs>
          <w:tab w:val="left" w:pos="1300"/>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bet kokių drėgnų paviršių;</w:t>
      </w:r>
    </w:p>
    <w:p w14:paraId="669F2A82" w14:textId="77777777" w:rsidR="008C0902" w:rsidRPr="007A63EB" w:rsidRDefault="008C0902" w:rsidP="00334A65">
      <w:pPr>
        <w:spacing w:line="68" w:lineRule="exact"/>
        <w:jc w:val="both"/>
        <w:rPr>
          <w:rFonts w:ascii="Arial" w:eastAsia="Arial" w:hAnsi="Arial"/>
          <w:sz w:val="24"/>
          <w:szCs w:val="24"/>
        </w:rPr>
      </w:pPr>
    </w:p>
    <w:p w14:paraId="669F2A83" w14:textId="66723AD7" w:rsidR="008C0902" w:rsidRPr="007A63EB" w:rsidRDefault="0094538C" w:rsidP="00334A65">
      <w:pPr>
        <w:numPr>
          <w:ilvl w:val="2"/>
          <w:numId w:val="1"/>
        </w:numPr>
        <w:tabs>
          <w:tab w:val="left" w:pos="1300"/>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minkštų, medžiaginių, kitų skysčius sugeriančių objektų (žaislų, drabužių, patalynės</w:t>
      </w:r>
      <w:r w:rsidR="007A63EB">
        <w:rPr>
          <w:rFonts w:ascii="Times New Roman" w:eastAsia="Times New Roman" w:hAnsi="Times New Roman"/>
          <w:sz w:val="24"/>
          <w:szCs w:val="24"/>
        </w:rPr>
        <w:t xml:space="preserve"> ir pan.);</w:t>
      </w:r>
    </w:p>
    <w:p w14:paraId="669F2A84" w14:textId="77777777" w:rsidR="008C0902" w:rsidRPr="007A63EB" w:rsidRDefault="008C0902" w:rsidP="00334A65">
      <w:pPr>
        <w:spacing w:line="40" w:lineRule="exact"/>
        <w:jc w:val="both"/>
        <w:rPr>
          <w:rFonts w:ascii="Arial" w:eastAsia="Arial" w:hAnsi="Arial"/>
          <w:sz w:val="24"/>
          <w:szCs w:val="24"/>
        </w:rPr>
      </w:pPr>
    </w:p>
    <w:p w14:paraId="669F2A86" w14:textId="77777777" w:rsidR="008C0902" w:rsidRPr="007A63EB" w:rsidRDefault="008C0902" w:rsidP="00334A65">
      <w:pPr>
        <w:spacing w:line="72" w:lineRule="exact"/>
        <w:jc w:val="both"/>
        <w:rPr>
          <w:rFonts w:ascii="Arial" w:eastAsia="Arial" w:hAnsi="Arial"/>
          <w:sz w:val="24"/>
          <w:szCs w:val="24"/>
        </w:rPr>
      </w:pPr>
    </w:p>
    <w:p w14:paraId="669F2A87" w14:textId="77777777" w:rsidR="008C0902" w:rsidRPr="007A63EB" w:rsidRDefault="0094538C" w:rsidP="00334A65">
      <w:pPr>
        <w:numPr>
          <w:ilvl w:val="2"/>
          <w:numId w:val="1"/>
        </w:numPr>
        <w:tabs>
          <w:tab w:val="left" w:pos="1296"/>
        </w:tabs>
        <w:spacing w:line="269" w:lineRule="auto"/>
        <w:ind w:firstLine="994"/>
        <w:jc w:val="both"/>
        <w:rPr>
          <w:rFonts w:ascii="Arial" w:eastAsia="Arial" w:hAnsi="Arial"/>
          <w:sz w:val="24"/>
          <w:szCs w:val="24"/>
        </w:rPr>
      </w:pPr>
      <w:r w:rsidRPr="007A63EB">
        <w:rPr>
          <w:rFonts w:ascii="Times New Roman" w:eastAsia="Times New Roman" w:hAnsi="Times New Roman"/>
          <w:sz w:val="24"/>
          <w:szCs w:val="24"/>
        </w:rPr>
        <w:t xml:space="preserve">paviršių, ant kurių yra grunto, dulkių, trupinių ar kitų nešvarumų (gėlių vazonų, augintinių </w:t>
      </w:r>
      <w:proofErr w:type="spellStart"/>
      <w:r w:rsidRPr="007A63EB">
        <w:rPr>
          <w:rFonts w:ascii="Times New Roman" w:eastAsia="Times New Roman" w:hAnsi="Times New Roman"/>
          <w:sz w:val="24"/>
          <w:szCs w:val="24"/>
        </w:rPr>
        <w:t>terariumų</w:t>
      </w:r>
      <w:proofErr w:type="spellEnd"/>
      <w:r w:rsidRPr="007A63EB">
        <w:rPr>
          <w:rFonts w:ascii="Times New Roman" w:eastAsia="Times New Roman" w:hAnsi="Times New Roman"/>
          <w:sz w:val="24"/>
          <w:szCs w:val="24"/>
        </w:rPr>
        <w:t xml:space="preserve"> / akvariumų).</w:t>
      </w:r>
    </w:p>
    <w:sectPr w:rsidR="008C0902" w:rsidRPr="007A63EB">
      <w:pgSz w:w="12240" w:h="15840"/>
      <w:pgMar w:top="1437"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02"/>
    <w:rsid w:val="00334A65"/>
    <w:rsid w:val="003C40F2"/>
    <w:rsid w:val="005748E9"/>
    <w:rsid w:val="005E6E1E"/>
    <w:rsid w:val="00654E64"/>
    <w:rsid w:val="007A63EB"/>
    <w:rsid w:val="008C0902"/>
    <w:rsid w:val="0094538C"/>
    <w:rsid w:val="00C4398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2A6B"/>
  <w15:chartTrackingRefBased/>
  <w15:docId w15:val="{68C74502-7558-4B82-99DF-11775A2D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E3BF5F80ACEFB45A8AF136C28709CA2" ma:contentTypeVersion="12" ma:contentTypeDescription="Kurkite naują dokumentą." ma:contentTypeScope="" ma:versionID="d7e8b4596f9c96f742501c63756ae777">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37a2a89e7637f946f6aeff3c7963d431"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1C7DD-E2C8-4EA1-B1B2-178C2ACB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EE52E-4889-44B4-BF0E-EDDC36897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1302</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Justina Vaišnoraitė</cp:lastModifiedBy>
  <cp:revision>11</cp:revision>
  <dcterms:created xsi:type="dcterms:W3CDTF">2021-09-03T10:03:00Z</dcterms:created>
  <dcterms:modified xsi:type="dcterms:W3CDTF">2021-09-03T10:16:00Z</dcterms:modified>
</cp:coreProperties>
</file>